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color w:val="B86B00"/>
          <w:spacing w:val="20"/>
          <w:sz w:val="15"/>
          <w:szCs w:val="15"/>
        </w:rPr>
        <w:t xml:space="preserve">TEMPLATE · REPLACE EVERY [BRACKET] · TWO PAGES, QUARTERLY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C0C0C"/>
          <w:sz w:val="40"/>
          <w:szCs w:val="40"/>
        </w:rPr>
        <w:t xml:space="preserve">AI at </w:t>
      </w:r>
      <w:r>
        <w:rPr>
          <w:rFonts w:ascii="Arial" w:cs="Arial" w:eastAsia="Arial" w:hAnsi="Arial"/>
          <w:b/>
          <w:bCs/>
          <w:color w:val="B86B00"/>
          <w:sz w:val="40"/>
          <w:szCs w:val="40"/>
        </w:rPr>
        <w:t xml:space="preserve">[Company]</w:t>
      </w:r>
      <w:r>
        <w:rPr>
          <w:rFonts w:ascii="Arial" w:cs="Arial" w:eastAsia="Arial" w:hAnsi="Arial"/>
          <w:b/>
          <w:bCs/>
          <w:color w:val="0C0C0C"/>
          <w:sz w:val="40"/>
          <w:szCs w:val="40"/>
        </w:rPr>
        <w:t xml:space="preserve"> — position &amp; risk briefing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1200"/>
        <w:gridCol w:w="1500"/>
        <w:gridCol w:w="1000"/>
        <w:gridCol w:w="1338"/>
      </w:tblGrid>
      <w:tr>
        <w:tc>
          <w:tcPr>
            <w:tcW w:type="dxa" w:w="18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PREPARED BY</w:t>
            </w:r>
          </w:p>
        </w:tc>
        <w:tc>
          <w:tcPr>
            <w:tcW w:type="dxa" w:w="28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PERIOD</w:t>
            </w:r>
          </w:p>
        </w:tc>
        <w:tc>
          <w:tcPr>
            <w:tcW w:type="dxa" w:w="1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[Q_ 20__]</w:t>
            </w:r>
          </w:p>
        </w:tc>
        <w:tc>
          <w:tcPr>
            <w:tcW w:type="dxa" w:w="10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DATE</w:t>
            </w:r>
          </w:p>
        </w:tc>
        <w:tc>
          <w:tcPr>
            <w:tcW w:type="dxa" w:w="13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[YYYY-MM-DD]</w:t>
            </w:r>
          </w:p>
        </w:tc>
      </w:tr>
    </w:tbl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C0C0C"/>
          <w:sz w:val="24"/>
          <w:szCs w:val="24"/>
        </w:rPr>
        <w:t xml:space="preserve">The one-line status — write this last, put it first</w:t>
      </w:r>
    </w:p>
    <w:p>
      <w:pPr>
        <w:spacing w:after="120"/>
      </w:pPr>
      <w:r>
        <w:rPr>
          <w:rFonts w:ascii="Consolas" w:cs="Consolas" w:eastAsia="Consolas" w:hAnsi="Consolas"/>
          <w:sz w:val="18"/>
          <w:szCs w:val="18"/>
        </w:rPr>
        <w:t xml:space="preserve">e.g. "AI use is inventoried and governed; one near-miss this quarter, closed; two decisions needed below." </w:t>
      </w:r>
      <w:r>
        <w:rPr>
          <w:rFonts w:ascii="Arial" w:cs="Arial" w:eastAsia="Arial" w:hAnsi="Arial"/>
          <w:color w:val="B86B00"/>
          <w:sz w:val="18"/>
          <w:szCs w:val="18"/>
        </w:rPr>
        <w:t xml:space="preserve">One sentence a director could repeat accurately at dinner.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C0C0C"/>
          <w:sz w:val="24"/>
          <w:szCs w:val="24"/>
        </w:rPr>
        <w:t xml:space="preserve">1 · Where we use AI today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4A4A4A"/>
          <w:sz w:val="17"/>
          <w:szCs w:val="17"/>
        </w:rPr>
        <w:t xml:space="preserve">Keep to what a board needs: what, where, and whether it touches customers or personal data. No tool logos, no vendor enthusiasm.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2200"/>
        <w:gridCol w:w="1700"/>
        <w:gridCol w:w="1838"/>
      </w:tblGrid>
      <w:tr>
        <w:tc>
          <w:tcPr>
            <w:tcW w:type="dxa" w:w="39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USE</w:t>
            </w:r>
          </w:p>
        </w:tc>
        <w:tc>
          <w:tcPr>
            <w:tcW w:type="dxa" w:w="2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BUSINESS AREA</w:t>
            </w:r>
          </w:p>
        </w:tc>
        <w:tc>
          <w:tcPr>
            <w:tcW w:type="dxa" w:w="17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CUSTOMER-FACING?</w:t>
            </w:r>
          </w:p>
        </w:tc>
        <w:tc>
          <w:tcPr>
            <w:tcW w:type="dxa" w:w="18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PERSONAL DATA?</w:t>
            </w:r>
          </w:p>
        </w:tc>
      </w:tr>
      <w:tr>
        <w:tc>
          <w:tcPr>
            <w:tcW w:type="dxa" w:w="39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[e.g. Drafting &amp; research — approved assistants]</w:t>
            </w:r>
          </w:p>
        </w:tc>
        <w:tc>
          <w:tcPr>
            <w:tcW w:type="dxa" w:w="2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[all]</w:t>
            </w:r>
          </w:p>
        </w:tc>
        <w:tc>
          <w:tcPr>
            <w:tcW w:type="dxa" w:w="17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yes  ☐ no</w:t>
            </w:r>
          </w:p>
        </w:tc>
        <w:tc>
          <w:tcPr>
            <w:tcW w:type="dxa" w:w="18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yes  ☐ no</w:t>
            </w:r>
          </w:p>
        </w:tc>
      </w:tr>
      <w:tr>
        <w:tc>
          <w:tcPr>
            <w:tcW w:type="dxa" w:w="39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[e.g. Meeting transcription]</w:t>
            </w:r>
          </w:p>
        </w:tc>
        <w:tc>
          <w:tcPr>
            <w:tcW w:type="dxa" w:w="2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[sales]</w:t>
            </w:r>
          </w:p>
        </w:tc>
        <w:tc>
          <w:tcPr>
            <w:tcW w:type="dxa" w:w="17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yes  ☐ no</w:t>
            </w:r>
          </w:p>
        </w:tc>
        <w:tc>
          <w:tcPr>
            <w:tcW w:type="dxa" w:w="18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yes  ☐ no</w:t>
            </w:r>
          </w:p>
        </w:tc>
      </w:tr>
      <w:tr>
        <w:tc>
          <w:tcPr>
            <w:tcW w:type="dxa" w:w="39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[e.g. Agent — invoice chasing, human-approved sends]</w:t>
            </w:r>
          </w:p>
        </w:tc>
        <w:tc>
          <w:tcPr>
            <w:tcW w:type="dxa" w:w="2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[finance]</w:t>
            </w:r>
          </w:p>
        </w:tc>
        <w:tc>
          <w:tcPr>
            <w:tcW w:type="dxa" w:w="17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yes  ☐ no</w:t>
            </w:r>
          </w:p>
        </w:tc>
        <w:tc>
          <w:tcPr>
            <w:tcW w:type="dxa" w:w="18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yes  ☐ no</w:t>
            </w:r>
          </w:p>
        </w:tc>
      </w:tr>
    </w:tbl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C0C0C"/>
          <w:sz w:val="24"/>
          <w:szCs w:val="24"/>
        </w:rPr>
        <w:t xml:space="preserve">2 · Risk position — top three, honestly stated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4A4A4A"/>
          <w:sz w:val="17"/>
          <w:szCs w:val="17"/>
        </w:rPr>
        <w:t xml:space="preserve">Three risks, each with: what it is, what we have done, what remains. Resist the urge to list ten; the board can hold three.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000"/>
        <w:gridCol w:w="3100"/>
        <w:gridCol w:w="3038"/>
      </w:tblGrid>
      <w:tr>
        <w:tc>
          <w:tcPr>
            <w:tcW w:type="dxa" w:w="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#</w:t>
            </w:r>
          </w:p>
        </w:tc>
        <w:tc>
          <w:tcPr>
            <w:tcW w:type="dxa" w:w="30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RISK</w:t>
            </w:r>
          </w:p>
        </w:tc>
        <w:tc>
          <w:tcPr>
            <w:tcW w:type="dxa" w:w="31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CONTROLS IN PLACE</w:t>
            </w:r>
          </w:p>
        </w:tc>
        <w:tc>
          <w:tcPr>
            <w:tcW w:type="dxa" w:w="30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RESIDUAL / GAP</w:t>
            </w:r>
          </w:p>
        </w:tc>
      </w:tr>
      <w:tr>
        <w:tc>
          <w:tcPr>
            <w:tcW w:type="dxa" w:w="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30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[e.g. Staff data entry into AI tools]</w:t>
            </w:r>
          </w:p>
        </w:tc>
        <w:tc>
          <w:tcPr>
            <w:tcW w:type="dxa" w:w="31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[policy issued · business tiers · training off]</w:t>
            </w:r>
          </w:p>
        </w:tc>
        <w:tc>
          <w:tcPr>
            <w:tcW w:type="dxa" w:w="30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[relies on behaviour; near-miss reporting active]</w:t>
            </w:r>
          </w:p>
        </w:tc>
      </w:tr>
      <w:tr>
        <w:tc>
          <w:tcPr>
            <w:tcW w:type="dxa" w:w="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0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[e.g. Deepfake payment fraud]</w:t>
            </w:r>
          </w:p>
        </w:tc>
        <w:tc>
          <w:tcPr>
            <w:tcW w:type="dxa" w:w="31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[callback procedure · tabletop run MM-YYYY]</w:t>
            </w:r>
          </w:p>
        </w:tc>
        <w:tc>
          <w:tcPr>
            <w:tcW w:type="dxa" w:w="30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[procedure untested under real pressure]</w:t>
            </w:r>
          </w:p>
        </w:tc>
      </w:tr>
      <w:tr>
        <w:tc>
          <w:tcPr>
            <w:tcW w:type="dxa" w:w="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30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[e.g. Agent/connector permissions]</w:t>
            </w:r>
          </w:p>
        </w:tc>
        <w:tc>
          <w:tcPr>
            <w:tcW w:type="dxa" w:w="31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[go-live checklist · quarterly review]</w:t>
            </w:r>
          </w:p>
        </w:tc>
        <w:tc>
          <w:tcPr>
            <w:tcW w:type="dxa" w:w="30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[one legacy connector pending re-scope]</w:t>
            </w:r>
          </w:p>
        </w:tc>
      </w:tr>
    </w:tbl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C0C0C"/>
          <w:sz w:val="24"/>
          <w:szCs w:val="24"/>
        </w:rPr>
        <w:t xml:space="preserve">3 · Incidents and near-misses this period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4A4A4A"/>
          <w:sz w:val="17"/>
          <w:szCs w:val="17"/>
        </w:rPr>
        <w:t xml:space="preserve">Near-misses are a sign the reporting culture works — present them that way. "Nothing to report" from a firm with no reporting mechanism is not good news; say which one you are.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00"/>
        <w:gridCol w:w="2100"/>
        <w:gridCol w:w="2838"/>
      </w:tblGrid>
      <w:tr>
        <w:tc>
          <w:tcPr>
            <w:tcW w:type="dxa" w:w="1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DATE</w:t>
            </w:r>
          </w:p>
        </w:tc>
        <w:tc>
          <w:tcPr>
            <w:tcW w:type="dxa" w:w="3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WHAT HAPPENED</w:t>
            </w:r>
          </w:p>
        </w:tc>
        <w:tc>
          <w:tcPr>
            <w:tcW w:type="dxa" w:w="21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IMPACT</w:t>
            </w:r>
          </w:p>
        </w:tc>
        <w:tc>
          <w:tcPr>
            <w:tcW w:type="dxa" w:w="28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ACTION TAKEN</w:t>
            </w:r>
          </w:p>
        </w:tc>
      </w:tr>
      <w:tr>
        <w:tc>
          <w:tcPr>
            <w:tcW w:type="dxa" w:w="1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[date]</w:t>
            </w:r>
          </w:p>
        </w:tc>
        <w:tc>
          <w:tcPr>
            <w:tcW w:type="dxa" w:w="3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[two lines, plain language]</w:t>
            </w:r>
          </w:p>
        </w:tc>
        <w:tc>
          <w:tcPr>
            <w:tcW w:type="dxa" w:w="21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[none / contained / notified]</w:t>
            </w:r>
          </w:p>
        </w:tc>
        <w:tc>
          <w:tcPr>
            <w:tcW w:type="dxa" w:w="28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[what changed as a result]</w:t>
            </w:r>
          </w:p>
        </w:tc>
      </w:tr>
    </w:tbl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C0C0C"/>
          <w:sz w:val="24"/>
          <w:szCs w:val="24"/>
        </w:rPr>
        <w:t xml:space="preserve">4 · Money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1800"/>
        <w:gridCol w:w="3238"/>
      </w:tblGrid>
      <w:tr>
        <w:tc>
          <w:tcPr>
            <w:tcW w:type="dxa" w:w="46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ITEM</w:t>
            </w:r>
          </w:p>
        </w:tc>
        <w:tc>
          <w:tcPr>
            <w:tcW w:type="dxa" w:w="18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THIS PERIOD</w:t>
            </w:r>
          </w:p>
        </w:tc>
        <w:tc>
          <w:tcPr>
            <w:tcW w:type="dxa" w:w="32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NOTE</w:t>
            </w:r>
          </w:p>
        </w:tc>
      </w:tr>
      <w:tr>
        <w:tc>
          <w:tcPr>
            <w:tcW w:type="dxa" w:w="46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AI tooling spend (licences, business tiers)</w:t>
            </w:r>
          </w:p>
        </w:tc>
        <w:tc>
          <w:tcPr>
            <w:tcW w:type="dxa" w:w="18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[£]</w:t>
            </w:r>
          </w:p>
        </w:tc>
        <w:tc>
          <w:tcPr>
            <w:tcW w:type="dxa" w:w="32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[vs budget]</w:t>
            </w:r>
          </w:p>
        </w:tc>
      </w:tr>
      <w:tr>
        <w:tc>
          <w:tcPr>
            <w:tcW w:type="dxa" w:w="46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Time saved / value delivered (best honest estimate)</w:t>
            </w:r>
          </w:p>
        </w:tc>
        <w:tc>
          <w:tcPr>
            <w:tcW w:type="dxa" w:w="18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[hrs or £]</w:t>
            </w:r>
          </w:p>
        </w:tc>
        <w:tc>
          <w:tcPr>
            <w:tcW w:type="dxa" w:w="32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[method of estimate — say if rough]</w:t>
            </w:r>
          </w:p>
        </w:tc>
      </w:tr>
      <w:tr>
        <w:tc>
          <w:tcPr>
            <w:tcW w:type="dxa" w:w="46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Incident / remediation cost</w:t>
            </w:r>
          </w:p>
        </w:tc>
        <w:tc>
          <w:tcPr>
            <w:tcW w:type="dxa" w:w="18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[£]</w:t>
            </w:r>
          </w:p>
        </w:tc>
        <w:tc>
          <w:tcPr>
            <w:tcW w:type="dxa" w:w="32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[zero is a fine answer]</w:t>
            </w:r>
          </w:p>
        </w:tc>
      </w:tr>
    </w:tbl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C0C0C"/>
          <w:sz w:val="24"/>
          <w:szCs w:val="24"/>
        </w:rPr>
        <w:t xml:space="preserve">5 · Regulatory &amp; contractual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B86B00"/>
          <w:sz w:val="20"/>
          <w:szCs w:val="20"/>
          <w:highlight w:val="yellow"/>
          <w:highlightCs w:val="yellow"/>
        </w:rPr>
        <w:t xml:space="preserve">[UK GDPR position — where AI touches personal data, and the basis on which it does]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B86B00"/>
          <w:sz w:val="20"/>
          <w:szCs w:val="20"/>
          <w:highlight w:val="yellow"/>
          <w:highlightCs w:val="yellow"/>
        </w:rPr>
        <w:t xml:space="preserve">[Customer/supplier AI clauses — questionnaires received, commitments made]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B86B00"/>
          <w:sz w:val="20"/>
          <w:szCs w:val="20"/>
          <w:highlight w:val="yellow"/>
          <w:highlightCs w:val="yellow"/>
        </w:rPr>
        <w:t xml:space="preserve">[EU AI Act exposure, if selling into the EU — usually "transparency duties only; tracked"]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C0C0C"/>
          <w:sz w:val="24"/>
          <w:szCs w:val="24"/>
        </w:rPr>
        <w:t xml:space="preserve">6 · Decisions needed from this meeting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4A4A4A"/>
          <w:sz w:val="17"/>
          <w:szCs w:val="17"/>
        </w:rPr>
        <w:t xml:space="preserve">The section the meeting exists for. Each decision: the ask, the cost, the risk of saying no. If there are no decisions, say so and take the ten minutes back.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200"/>
        <w:gridCol w:w="1400"/>
        <w:gridCol w:w="3538"/>
      </w:tblGrid>
      <w:tr>
        <w:tc>
          <w:tcPr>
            <w:tcW w:type="dxa" w:w="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#</w:t>
            </w:r>
          </w:p>
        </w:tc>
        <w:tc>
          <w:tcPr>
            <w:tcW w:type="dxa" w:w="4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DECISION SOUGHT</w:t>
            </w:r>
          </w:p>
        </w:tc>
        <w:tc>
          <w:tcPr>
            <w:tcW w:type="dxa" w:w="14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COST</w:t>
            </w:r>
          </w:p>
        </w:tc>
        <w:tc>
          <w:tcPr>
            <w:tcW w:type="dxa" w:w="35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shd w:fill="EFEAD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4A4A4A"/>
                <w:sz w:val="15"/>
                <w:szCs w:val="15"/>
              </w:rPr>
              <w:t xml:space="preserve">RISK IF DEFERRED</w:t>
            </w:r>
          </w:p>
        </w:tc>
      </w:tr>
      <w:tr>
        <w:tc>
          <w:tcPr>
            <w:tcW w:type="dxa" w:w="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4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[e.g. approve budget for business tiers, £X/yr]</w:t>
            </w:r>
          </w:p>
        </w:tc>
        <w:tc>
          <w:tcPr>
            <w:tcW w:type="dxa" w:w="14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[£]</w:t>
            </w:r>
          </w:p>
        </w:tc>
        <w:tc>
          <w:tcPr>
            <w:tcW w:type="dxa" w:w="35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[shadow use continues on consumer terms]</w:t>
            </w:r>
          </w:p>
        </w:tc>
      </w:tr>
      <w:tr>
        <w:tc>
          <w:tcPr>
            <w:tcW w:type="dxa" w:w="5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42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[e.g. approve first agent go-live under checklist]</w:t>
            </w:r>
          </w:p>
        </w:tc>
        <w:tc>
          <w:tcPr>
            <w:tcW w:type="dxa" w:w="1400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[£0]</w:t>
            </w:r>
          </w:p>
        </w:tc>
        <w:tc>
          <w:tcPr>
            <w:tcW w:type="dxa" w:w="3538"/>
            <w:tcBorders>
              <w:top w:val="single" w:color="C9C4B8" w:sz="4"/>
              <w:left w:val="single" w:color="C9C4B8" w:sz="4"/>
              <w:bottom w:val="single" w:color="C9C4B8" w:sz="4"/>
              <w:right w:val="single" w:color="C9C4B8" w:sz="4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B86B00"/>
                <w:sz w:val="20"/>
                <w:szCs w:val="20"/>
                <w:highlight w:val="yellow"/>
                <w:highlightCs w:val="yellow"/>
              </w:rPr>
              <w:t xml:space="preserve">[manual process continues; no control precedent set]</w:t>
            </w:r>
          </w:p>
        </w:tc>
      </w:tr>
    </w:tbl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C0C0C"/>
          <w:sz w:val="24"/>
          <w:szCs w:val="24"/>
        </w:rPr>
        <w:t xml:space="preserve">Writing guidance — delete before circulating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Two pages. If it doesn't fit, it isn't summarised yet.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Numbers and dates over adjectives. "Contained in 40 minutes" beats "swift response".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State uncertainty plainly: "we don't know yet — answer by [date]" builds more trust than false precision.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Repeat the format every quarter. Boards learn to read a stable shape fast.</w:t>
      </w:r>
    </w:p>
    <w:p>
      <w:pPr>
        <w:pBdr>
          <w:top w:val="single" w:color="C9C4B8" w:sz="4"/>
        </w:pBdr>
        <w:spacing w:before="240"/>
      </w:pPr>
      <w:r>
        <w:rPr>
          <w:rFonts w:ascii="Consolas" w:cs="Consolas" w:eastAsia="Consolas" w:hAnsi="Consolas"/>
          <w:color w:val="8A8A8A"/>
          <w:sz w:val="14"/>
          <w:szCs w:val="14"/>
        </w:rPr>
        <w:t xml:space="preserve">AI board briefing template v1.0 · from the AI Security Starter Kit · peterbassill.com · CC BY 4.0 — adapt freely, keep the attribution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2026-07-18T08:32:50.218Z</dcterms:created>
  <dcterms:modified xsi:type="dcterms:W3CDTF">2026-07-18T08:32:50.218Z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