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onsolas" w:cs="Consolas" w:eastAsia="Consolas" w:hAnsi="Consolas"/>
          <w:color w:val="B86B00"/>
          <w:spacing w:val="20"/>
          <w:sz w:val="15"/>
          <w:szCs w:val="15"/>
        </w:rPr>
        <w:t xml:space="preserve">TEMPLATE · REPLACE EVERY [BRACKET] · AIM FOR TWO PAGES, NEVER MORE</w:t>
      </w:r>
    </w:p>
    <w:p>
      <w:pPr>
        <w:spacing w:after="200"/>
      </w:pPr>
      <w:r>
        <w:rPr>
          <w:rFonts w:ascii="Arial" w:cs="Arial" w:eastAsia="Arial" w:hAnsi="Arial"/>
          <w:b/>
          <w:bCs/>
          <w:color w:val="0C0C0C"/>
          <w:sz w:val="40"/>
          <w:szCs w:val="40"/>
        </w:rPr>
        <w:t xml:space="preserve">AI usage policy — </w:t>
      </w:r>
      <w:r>
        <w:rPr>
          <w:rFonts w:ascii="Arial" w:cs="Arial" w:eastAsia="Arial" w:hAnsi="Arial"/>
          <w:b/>
          <w:bCs/>
          <w:color w:val="B86B00"/>
          <w:sz w:val="40"/>
          <w:szCs w:val="40"/>
        </w:rPr>
        <w:t xml:space="preserve">[Company name]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219"/>
        <w:gridCol w:w="1600"/>
        <w:gridCol w:w="3219"/>
      </w:tblGrid>
      <w:tr>
        <w:tc>
          <w:tcPr>
            <w:tcW w:type="dxa" w:w="16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OWNER</w:t>
            </w:r>
          </w:p>
        </w:tc>
        <w:tc>
          <w:tcPr>
            <w:tcW w:type="dxa" w:w="32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[name — one person, not a committee]</w:t>
            </w:r>
          </w:p>
        </w:tc>
        <w:tc>
          <w:tcPr>
            <w:tcW w:type="dxa" w:w="16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VERSION</w:t>
            </w:r>
          </w:p>
        </w:tc>
        <w:tc>
          <w:tcPr>
            <w:tcW w:type="dxa" w:w="32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[1.0]</w:t>
            </w:r>
          </w:p>
        </w:tc>
      </w:tr>
      <w:tr>
        <w:tc>
          <w:tcPr>
            <w:tcW w:type="dxa" w:w="16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APPLIES TO</w:t>
            </w:r>
          </w:p>
        </w:tc>
        <w:tc>
          <w:tcPr>
            <w:tcW w:type="dxa" w:w="32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Everyone who works here, including contractors</w:t>
            </w:r>
          </w:p>
        </w:tc>
        <w:tc>
          <w:tcPr>
            <w:tcW w:type="dxa" w:w="16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REVIEWED</w:t>
            </w:r>
          </w:p>
        </w:tc>
        <w:tc>
          <w:tcPr>
            <w:tcW w:type="dxa" w:w="32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[date]</w:t>
            </w:r>
            <w:r>
              <w:rPr>
                <w:rFonts w:ascii="Arial" w:cs="Arial" w:eastAsia="Arial" w:hAnsi="Arial"/>
                <w:sz w:val="20"/>
                <w:szCs w:val="20"/>
              </w:rPr>
              <w:t xml:space="preserve"> · next in 6 months</w:t>
            </w:r>
          </w:p>
        </w:tc>
      </w:tr>
    </w:tbl>
    <w:p>
      <w:pPr>
        <w:pStyle w:val="Heading2"/>
        <w:spacing w:after="100" w:before="240"/>
      </w:pPr>
      <w:r>
        <w:rPr>
          <w:rFonts w:ascii="Arial" w:cs="Arial" w:eastAsia="Arial" w:hAnsi="Arial"/>
          <w:b/>
          <w:bCs/>
          <w:color w:val="0C0C0C"/>
          <w:sz w:val="24"/>
          <w:szCs w:val="24"/>
        </w:rPr>
        <w:t xml:space="preserve">1 · Why this policy exists</w:t>
      </w:r>
    </w:p>
    <w:p>
      <w:pPr>
        <w:spacing w:after="120"/>
      </w:pPr>
      <w:r>
        <w:rPr>
          <w:rFonts w:ascii="Arial" w:cs="Arial" w:eastAsia="Arial" w:hAnsi="Arial"/>
          <w:sz w:val="20"/>
          <w:szCs w:val="20"/>
        </w:rPr>
        <w:t xml:space="preserve">AI tools make us faster and are approved for use here. They also move data outside the firm and produce confident text that is sometimes wrong. This policy exists so everyone can use AI without guessing where the lines are. It is deliberately short. If a situation is not covered, the rule is: ask the policy owner first.</w:t>
      </w:r>
    </w:p>
    <w:p>
      <w:pPr>
        <w:pStyle w:val="Heading2"/>
        <w:spacing w:after="100" w:before="240"/>
      </w:pPr>
      <w:r>
        <w:rPr>
          <w:rFonts w:ascii="Arial" w:cs="Arial" w:eastAsia="Arial" w:hAnsi="Arial"/>
          <w:b/>
          <w:bCs/>
          <w:color w:val="0C0C0C"/>
          <w:sz w:val="24"/>
          <w:szCs w:val="24"/>
        </w:rPr>
        <w:t xml:space="preserve">2 · The approved tools</w:t>
      </w:r>
    </w:p>
    <w:p>
      <w:pPr>
        <w:spacing w:after="120"/>
      </w:pPr>
      <w:r>
        <w:rPr>
          <w:rFonts w:ascii="Arial" w:cs="Arial" w:eastAsia="Arial" w:hAnsi="Arial"/>
          <w:sz w:val="20"/>
          <w:szCs w:val="20"/>
        </w:rPr>
        <w:t xml:space="preserve">Work may be done with these tools, on </w:t>
      </w:r>
      <w:r>
        <w:rPr>
          <w:rFonts w:ascii="Arial" w:cs="Arial" w:eastAsia="Arial" w:hAnsi="Arial"/>
          <w:b/>
          <w:bCs/>
          <w:sz w:val="20"/>
          <w:szCs w:val="20"/>
        </w:rPr>
        <w:t xml:space="preserve">company accounts only</w:t>
      </w:r>
      <w:r>
        <w:rPr>
          <w:rFonts w:ascii="Arial" w:cs="Arial" w:eastAsia="Arial" w:hAnsi="Arial"/>
          <w:sz w:val="20"/>
          <w:szCs w:val="20"/>
        </w:rPr>
        <w:t xml:space="preserv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1700"/>
        <w:gridCol w:w="2400"/>
        <w:gridCol w:w="2738"/>
      </w:tblGrid>
      <w:tr>
        <w:tc>
          <w:tcPr>
            <w:tcW w:type="dxa" w:w="28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TOOL</w:t>
            </w:r>
          </w:p>
        </w:tc>
        <w:tc>
          <w:tcPr>
            <w:tcW w:type="dxa" w:w="17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ACCOUNT TYPE</w:t>
            </w:r>
          </w:p>
        </w:tc>
        <w:tc>
          <w:tcPr>
            <w:tcW w:type="dxa" w:w="24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APPROVED FOR</w:t>
            </w:r>
          </w:p>
        </w:tc>
        <w:tc>
          <w:tcPr>
            <w:tcW w:type="dxa" w:w="2738"/>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NOTES</w:t>
            </w:r>
          </w:p>
        </w:tc>
      </w:tr>
      <w:tr>
        <w:tc>
          <w:tcPr>
            <w:tcW w:type="dxa" w:w="28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[e.g. Claude — Team plan]</w:t>
            </w:r>
          </w:p>
        </w:tc>
        <w:tc>
          <w:tcPr>
            <w:tcW w:type="dxa" w:w="17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Business</w:t>
            </w:r>
          </w:p>
        </w:tc>
        <w:tc>
          <w:tcPr>
            <w:tcW w:type="dxa" w:w="24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GREEN + AMBER data</w:t>
            </w:r>
          </w:p>
        </w:tc>
        <w:tc>
          <w:tcPr>
            <w:tcW w:type="dxa" w:w="27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Training on our data: off</w:t>
            </w:r>
          </w:p>
        </w:tc>
      </w:tr>
      <w:tr>
        <w:tc>
          <w:tcPr>
            <w:tcW w:type="dxa" w:w="28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[e.g. Microsoft 365 Copilot]</w:t>
            </w:r>
          </w:p>
        </w:tc>
        <w:tc>
          <w:tcPr>
            <w:tcW w:type="dxa" w:w="17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Business</w:t>
            </w:r>
          </w:p>
        </w:tc>
        <w:tc>
          <w:tcPr>
            <w:tcW w:type="dxa" w:w="24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GREEN + AMBER data</w:t>
            </w:r>
          </w:p>
        </w:tc>
        <w:tc>
          <w:tcPr>
            <w:tcW w:type="dxa" w:w="27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Within our tenancy</w:t>
            </w:r>
          </w:p>
        </w:tc>
      </w:tr>
      <w:tr>
        <w:tc>
          <w:tcPr>
            <w:tcW w:type="dxa" w:w="28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[tool]</w:t>
            </w:r>
          </w:p>
        </w:tc>
        <w:tc>
          <w:tcPr>
            <w:tcW w:type="dxa" w:w="17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[tier]</w:t>
            </w:r>
          </w:p>
        </w:tc>
        <w:tc>
          <w:tcPr>
            <w:tcW w:type="dxa" w:w="24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[scope]</w:t>
            </w:r>
          </w:p>
        </w:tc>
        <w:tc>
          <w:tcPr>
            <w:tcW w:type="dxa" w:w="27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[notes]</w:t>
            </w:r>
          </w:p>
        </w:tc>
      </w:tr>
    </w:tbl>
    <w:p>
      <w:pPr>
        <w:spacing w:after="120" w:before="80"/>
      </w:pPr>
      <w:r>
        <w:rPr>
          <w:rFonts w:ascii="Arial" w:cs="Arial" w:eastAsia="Arial" w:hAnsi="Arial"/>
          <w:color w:val="4A4A4A"/>
          <w:sz w:val="18"/>
          <w:szCs w:val="18"/>
        </w:rPr>
        <w:t xml:space="preserve">Anything not on this list is not approved for work data. To get a tool added, send the owner the tool name and what you want to use it for; answer within one week.</w:t>
      </w:r>
    </w:p>
    <w:p>
      <w:pPr>
        <w:pStyle w:val="Heading2"/>
        <w:spacing w:after="100" w:before="240"/>
      </w:pPr>
      <w:r>
        <w:rPr>
          <w:rFonts w:ascii="Arial" w:cs="Arial" w:eastAsia="Arial" w:hAnsi="Arial"/>
          <w:b/>
          <w:bCs/>
          <w:color w:val="0C0C0C"/>
          <w:sz w:val="24"/>
          <w:szCs w:val="24"/>
        </w:rPr>
        <w:t xml:space="preserve">3 · The data rules — three bins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300"/>
        <w:gridCol w:w="4300"/>
        <w:gridCol w:w="4038"/>
      </w:tblGrid>
      <w:tr>
        <w:tc>
          <w:tcPr>
            <w:tcW w:type="dxa" w:w="13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BIN</w:t>
            </w:r>
          </w:p>
        </w:tc>
        <w:tc>
          <w:tcPr>
            <w:tcW w:type="dxa" w:w="43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EXAMPLES</w:t>
            </w:r>
          </w:p>
        </w:tc>
        <w:tc>
          <w:tcPr>
            <w:tcW w:type="dxa" w:w="4038"/>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RULE</w:t>
            </w:r>
          </w:p>
        </w:tc>
      </w:tr>
      <w:tr>
        <w:tc>
          <w:tcPr>
            <w:tcW w:type="dxa" w:w="1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Consolas" w:cs="Consolas" w:eastAsia="Consolas" w:hAnsi="Consolas"/>
                <w:b/>
                <w:bCs/>
                <w:color w:val="3d7a3d"/>
                <w:sz w:val="18"/>
                <w:szCs w:val="18"/>
              </w:rPr>
              <w:t xml:space="preserve">GREEN</w:t>
            </w:r>
          </w:p>
        </w:tc>
        <w:tc>
          <w:tcPr>
            <w:tcW w:type="dxa" w:w="4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Published material, blank templates, general research, code with no secrets</w:t>
            </w:r>
          </w:p>
        </w:tc>
        <w:tc>
          <w:tcPr>
            <w:tcW w:type="dxa" w:w="40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Any approved tool, freely</w:t>
            </w:r>
          </w:p>
        </w:tc>
      </w:tr>
      <w:tr>
        <w:tc>
          <w:tcPr>
            <w:tcW w:type="dxa" w:w="1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Consolas" w:cs="Consolas" w:eastAsia="Consolas" w:hAnsi="Consolas"/>
                <w:b/>
                <w:bCs/>
                <w:color w:val="8a6a00"/>
                <w:sz w:val="18"/>
                <w:szCs w:val="18"/>
              </w:rPr>
              <w:t xml:space="preserve">AMBER</w:t>
            </w:r>
          </w:p>
        </w:tc>
        <w:tc>
          <w:tcPr>
            <w:tcW w:type="dxa" w:w="4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Internal drafts, proposals, process documents</w:t>
            </w:r>
          </w:p>
        </w:tc>
        <w:tc>
          <w:tcPr>
            <w:tcW w:type="dxa" w:w="40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Approved business-tier tools only</w:t>
            </w:r>
          </w:p>
        </w:tc>
      </w:tr>
      <w:tr>
        <w:tc>
          <w:tcPr>
            <w:tcW w:type="dxa" w:w="1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Consolas" w:cs="Consolas" w:eastAsia="Consolas" w:hAnsi="Consolas"/>
                <w:b/>
                <w:bCs/>
                <w:color w:val="a03030"/>
                <w:sz w:val="18"/>
                <w:szCs w:val="18"/>
              </w:rPr>
              <w:t xml:space="preserve">RED</w:t>
            </w:r>
          </w:p>
        </w:tc>
        <w:tc>
          <w:tcPr>
            <w:tcW w:type="dxa" w:w="4300"/>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sz w:val="20"/>
                <w:szCs w:val="20"/>
              </w:rPr>
              <w:t xml:space="preserve">Customer/staff personal data · financials · contracts · credentials · NDA material · </w:t>
            </w:r>
            <w:r>
              <w:rPr>
                <w:rFonts w:ascii="Arial" w:cs="Arial" w:eastAsia="Arial" w:hAnsi="Arial"/>
                <w:color w:val="B86B00"/>
                <w:sz w:val="20"/>
                <w:szCs w:val="20"/>
                <w:highlight w:val="yellow"/>
                <w:highlightCs w:val="yellow"/>
              </w:rPr>
              <w:t xml:space="preserve">[anything specific to your firm]</w:t>
            </w:r>
          </w:p>
        </w:tc>
        <w:tc>
          <w:tcPr>
            <w:tcW w:type="dxa" w:w="4038"/>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b/>
                <w:bCs/>
                <w:sz w:val="20"/>
                <w:szCs w:val="20"/>
              </w:rPr>
              <w:t xml:space="preserve">Not into AI tools. </w:t>
            </w:r>
            <w:r>
              <w:rPr>
                <w:rFonts w:ascii="Arial" w:cs="Arial" w:eastAsia="Arial" w:hAnsi="Arial"/>
                <w:sz w:val="20"/>
                <w:szCs w:val="20"/>
              </w:rPr>
              <w:t xml:space="preserve">Exceptions only with written approval from the owner for a named tool with a contract that covers it</w:t>
            </w:r>
          </w:p>
        </w:tc>
      </w:tr>
    </w:tbl>
    <w:p>
      <w:pPr>
        <w:pStyle w:val="Heading2"/>
        <w:spacing w:after="100" w:before="240"/>
      </w:pPr>
      <w:r>
        <w:rPr>
          <w:rFonts w:ascii="Arial" w:cs="Arial" w:eastAsia="Arial" w:hAnsi="Arial"/>
          <w:b/>
          <w:bCs/>
          <w:color w:val="0C0C0C"/>
          <w:sz w:val="24"/>
          <w:szCs w:val="24"/>
        </w:rPr>
        <w:t xml:space="preserve">4 · The rules</w:t>
      </w:r>
    </w:p>
    <w:p>
      <w:pPr>
        <w:pStyle w:val="ListParagraph"/>
        <w:numPr>
          <w:ilvl w:val="0"/>
          <w:numId w:val="2"/>
        </w:numPr>
        <w:spacing w:after="100"/>
      </w:pPr>
      <w:r>
        <w:rPr>
          <w:rFonts w:ascii="Arial" w:cs="Arial" w:eastAsia="Arial" w:hAnsi="Arial"/>
          <w:b/>
          <w:bCs/>
          <w:sz w:val="20"/>
          <w:szCs w:val="20"/>
        </w:rPr>
        <w:t xml:space="preserve">Company accounts only.</w:t>
      </w:r>
      <w:r>
        <w:rPr>
          <w:rFonts w:ascii="Arial" w:cs="Arial" w:eastAsia="Arial" w:hAnsi="Arial"/>
          <w:sz w:val="20"/>
          <w:szCs w:val="20"/>
        </w:rPr>
        <w:t xml:space="preserve"> Work data does not go into personal AI accounts. Historic use: delete work material — the owner can help.</w:t>
      </w:r>
    </w:p>
    <w:p>
      <w:pPr>
        <w:pStyle w:val="ListParagraph"/>
        <w:numPr>
          <w:ilvl w:val="0"/>
          <w:numId w:val="2"/>
        </w:numPr>
        <w:spacing w:after="100"/>
      </w:pPr>
      <w:r>
        <w:rPr>
          <w:rFonts w:ascii="Arial" w:cs="Arial" w:eastAsia="Arial" w:hAnsi="Arial"/>
          <w:b/>
          <w:bCs/>
          <w:sz w:val="20"/>
          <w:szCs w:val="20"/>
        </w:rPr>
        <w:t xml:space="preserve">You own your output.</w:t>
      </w:r>
      <w:r>
        <w:rPr>
          <w:rFonts w:ascii="Arial" w:cs="Arial" w:eastAsia="Arial" w:hAnsi="Arial"/>
          <w:sz w:val="20"/>
          <w:szCs w:val="20"/>
        </w:rPr>
        <w:t xml:space="preserve"> Everything AI-drafted is reviewed by a human before it reaches a customer, a supplier, or a decision. "The AI wrote it" is not a defence.</w:t>
      </w:r>
    </w:p>
    <w:p>
      <w:pPr>
        <w:pStyle w:val="ListParagraph"/>
        <w:numPr>
          <w:ilvl w:val="0"/>
          <w:numId w:val="2"/>
        </w:numPr>
        <w:spacing w:after="100"/>
      </w:pPr>
      <w:r>
        <w:rPr>
          <w:rFonts w:ascii="Arial" w:cs="Arial" w:eastAsia="Arial" w:hAnsi="Arial"/>
          <w:b/>
          <w:bCs/>
          <w:sz w:val="20"/>
          <w:szCs w:val="20"/>
        </w:rPr>
        <w:t xml:space="preserve">Meetings: people first.</w:t>
      </w:r>
      <w:r>
        <w:rPr>
          <w:rFonts w:ascii="Arial" w:cs="Arial" w:eastAsia="Arial" w:hAnsi="Arial"/>
          <w:sz w:val="20"/>
          <w:szCs w:val="20"/>
        </w:rPr>
        <w:t xml:space="preserve"> AI notetakers join meetings only when everyone present has been told. External calls: ask before recording.</w:t>
      </w:r>
    </w:p>
    <w:p>
      <w:pPr>
        <w:pStyle w:val="ListParagraph"/>
        <w:numPr>
          <w:ilvl w:val="0"/>
          <w:numId w:val="2"/>
        </w:numPr>
        <w:spacing w:after="100"/>
      </w:pPr>
      <w:r>
        <w:rPr>
          <w:rFonts w:ascii="Arial" w:cs="Arial" w:eastAsia="Arial" w:hAnsi="Arial"/>
          <w:b/>
          <w:bCs/>
          <w:sz w:val="20"/>
          <w:szCs w:val="20"/>
        </w:rPr>
        <w:t xml:space="preserve">No new connections without approval.</w:t>
      </w:r>
      <w:r>
        <w:rPr>
          <w:rFonts w:ascii="Arial" w:cs="Arial" w:eastAsia="Arial" w:hAnsi="Arial"/>
          <w:sz w:val="20"/>
          <w:szCs w:val="20"/>
        </w:rPr>
        <w:t xml:space="preserve"> Plugins, integrations, browser extensions and agents that link AI to our email, files or systems need a yes from the owner before they are connected.</w:t>
      </w:r>
    </w:p>
    <w:p>
      <w:pPr>
        <w:pStyle w:val="ListParagraph"/>
        <w:numPr>
          <w:ilvl w:val="0"/>
          <w:numId w:val="2"/>
        </w:numPr>
        <w:spacing w:after="100"/>
      </w:pPr>
      <w:r>
        <w:rPr>
          <w:rFonts w:ascii="Arial" w:cs="Arial" w:eastAsia="Arial" w:hAnsi="Arial"/>
          <w:b/>
          <w:bCs/>
          <w:sz w:val="20"/>
          <w:szCs w:val="20"/>
        </w:rPr>
        <w:t xml:space="preserve">Agents get the least access that works.</w:t>
      </w:r>
      <w:r>
        <w:rPr>
          <w:rFonts w:ascii="Arial" w:cs="Arial" w:eastAsia="Arial" w:hAnsi="Arial"/>
          <w:sz w:val="20"/>
          <w:szCs w:val="20"/>
        </w:rPr>
        <w:t xml:space="preserve"> Any AI that can act — send, change, delete, pay — runs on its own restricted account, with a named human owner, and its actions are logged.</w:t>
      </w:r>
    </w:p>
    <w:p>
      <w:pPr>
        <w:pStyle w:val="ListParagraph"/>
        <w:numPr>
          <w:ilvl w:val="0"/>
          <w:numId w:val="2"/>
        </w:numPr>
        <w:spacing w:after="100"/>
      </w:pPr>
      <w:r>
        <w:rPr>
          <w:rFonts w:ascii="Arial" w:cs="Arial" w:eastAsia="Arial" w:hAnsi="Arial"/>
          <w:b/>
          <w:bCs/>
          <w:sz w:val="20"/>
          <w:szCs w:val="20"/>
        </w:rPr>
        <w:t xml:space="preserve">Money has one procedure.</w:t>
      </w:r>
      <w:r>
        <w:rPr>
          <w:rFonts w:ascii="Arial" w:cs="Arial" w:eastAsia="Arial" w:hAnsi="Arial"/>
          <w:sz w:val="20"/>
          <w:szCs w:val="20"/>
        </w:rPr>
        <w:t xml:space="preserve"> New payees, changed bank details and urgent payment requests are verified by phone to a number already on file — regardless of how convincing the voice, video or email was.</w:t>
      </w:r>
    </w:p>
    <w:p>
      <w:pPr>
        <w:pStyle w:val="ListParagraph"/>
        <w:numPr>
          <w:ilvl w:val="0"/>
          <w:numId w:val="2"/>
        </w:numPr>
        <w:spacing w:after="100"/>
      </w:pPr>
      <w:r>
        <w:rPr>
          <w:rFonts w:ascii="Arial" w:cs="Arial" w:eastAsia="Arial" w:hAnsi="Arial"/>
          <w:b/>
          <w:bCs/>
          <w:sz w:val="20"/>
          <w:szCs w:val="20"/>
        </w:rPr>
        <w:t xml:space="preserve">Accuracy is checked, not assumed.</w:t>
      </w:r>
      <w:r>
        <w:rPr>
          <w:rFonts w:ascii="Arial" w:cs="Arial" w:eastAsia="Arial" w:hAnsi="Arial"/>
          <w:sz w:val="20"/>
          <w:szCs w:val="20"/>
        </w:rPr>
        <w:t xml:space="preserve"> AI output that includes facts, figures, law or code is verified against a source before use. AI is a drafting tool, not a source of record.</w:t>
      </w:r>
    </w:p>
    <w:p>
      <w:pPr>
        <w:pStyle w:val="ListParagraph"/>
        <w:numPr>
          <w:ilvl w:val="0"/>
          <w:numId w:val="2"/>
        </w:numPr>
        <w:spacing w:after="100"/>
      </w:pPr>
      <w:r>
        <w:rPr>
          <w:rFonts w:ascii="Arial" w:cs="Arial" w:eastAsia="Arial" w:hAnsi="Arial"/>
          <w:b/>
          <w:bCs/>
          <w:sz w:val="20"/>
          <w:szCs w:val="20"/>
        </w:rPr>
        <w:t xml:space="preserve">Tell someone, fast.</w:t>
      </w:r>
      <w:r>
        <w:rPr>
          <w:rFonts w:ascii="Arial" w:cs="Arial" w:eastAsia="Arial" w:hAnsi="Arial"/>
          <w:sz w:val="20"/>
          <w:szCs w:val="20"/>
        </w:rPr>
        <w:t xml:space="preserve"> Pasted the wrong thing? Suspicious AI-flavoured email? Agent did something odd? Tell the owner the same day. Reporting is never punished.</w:t>
      </w:r>
    </w:p>
    <w:p>
      <w:pPr>
        <w:pStyle w:val="Heading2"/>
        <w:spacing w:after="100" w:before="240"/>
      </w:pPr>
      <w:r>
        <w:rPr>
          <w:rFonts w:ascii="Arial" w:cs="Arial" w:eastAsia="Arial" w:hAnsi="Arial"/>
          <w:b/>
          <w:bCs/>
          <w:color w:val="0C0C0C"/>
          <w:sz w:val="24"/>
          <w:szCs w:val="24"/>
        </w:rPr>
        <w:t xml:space="preserve">5 · What happens if this goes wrong</w:t>
      </w:r>
    </w:p>
    <w:p>
      <w:pPr>
        <w:spacing w:after="120"/>
      </w:pPr>
      <w:r>
        <w:rPr>
          <w:rFonts w:ascii="Arial" w:cs="Arial" w:eastAsia="Arial" w:hAnsi="Arial"/>
          <w:sz w:val="20"/>
          <w:szCs w:val="20"/>
        </w:rPr>
        <w:t xml:space="preserve">Honest mistakes reported quickly are process failures — we fix the process. Deliberately feeding RED-bin data to unapproved tools, or hiding an incident, goes through the normal disciplinary procedure. The difference between the two is the reporting.</w:t>
      </w:r>
    </w:p>
    <w:p>
      <w:pPr>
        <w:pStyle w:val="Heading2"/>
        <w:spacing w:after="100" w:before="240"/>
      </w:pPr>
      <w:r>
        <w:rPr>
          <w:rFonts w:ascii="Arial" w:cs="Arial" w:eastAsia="Arial" w:hAnsi="Arial"/>
          <w:b/>
          <w:bCs/>
          <w:color w:val="0C0C0C"/>
          <w:sz w:val="24"/>
          <w:szCs w:val="24"/>
        </w:rPr>
        <w:t xml:space="preserve">6 · Review</w:t>
      </w:r>
    </w:p>
    <w:p>
      <w:pPr>
        <w:spacing w:after="120"/>
      </w:pPr>
      <w:r>
        <w:rPr>
          <w:rFonts w:ascii="Arial" w:cs="Arial" w:eastAsia="Arial" w:hAnsi="Arial"/>
          <w:sz w:val="20"/>
          <w:szCs w:val="20"/>
        </w:rPr>
        <w:t xml:space="preserve">Reviewed every six months by the owner, or immediately when a major tool changes its terms, or after any incident. Suggestions welcome — the approved list is meant to grow.</w:t>
      </w:r>
    </w:p>
    <w:p>
      <w:pPr>
        <w:pStyle w:val="Heading2"/>
        <w:spacing w:after="100" w:before="240"/>
      </w:pPr>
      <w:r>
        <w:rPr>
          <w:rFonts w:ascii="Arial" w:cs="Arial" w:eastAsia="Arial" w:hAnsi="Arial"/>
          <w:b/>
          <w:bCs/>
          <w:color w:val="0C0C0C"/>
          <w:sz w:val="24"/>
          <w:szCs w:val="24"/>
        </w:rPr>
        <w:t xml:space="preserve">Sign-off</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819"/>
        <w:gridCol w:w="1300"/>
        <w:gridCol w:w="2519"/>
      </w:tblGrid>
      <w:tr>
        <w:tc>
          <w:tcPr>
            <w:tcW w:type="dxa" w:w="20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APPROVED BY</w:t>
            </w:r>
          </w:p>
        </w:tc>
        <w:tc>
          <w:tcPr>
            <w:tcW w:type="dxa" w:w="38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[name, role]</w:t>
            </w:r>
          </w:p>
        </w:tc>
        <w:tc>
          <w:tcPr>
            <w:tcW w:type="dxa" w:w="13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DATE</w:t>
            </w:r>
          </w:p>
        </w:tc>
        <w:tc>
          <w:tcPr>
            <w:tcW w:type="dxa" w:w="2519"/>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[date]</w:t>
            </w:r>
          </w:p>
        </w:tc>
      </w:tr>
      <w:tr>
        <w:tc>
          <w:tcPr>
            <w:tcW w:type="dxa" w:w="2000"/>
            <w:tcBorders>
              <w:top w:val="single" w:color="C9C4B8" w:sz="4"/>
              <w:left w:val="single" w:color="C9C4B8" w:sz="4"/>
              <w:bottom w:val="single" w:color="C9C4B8" w:sz="4"/>
              <w:right w:val="single" w:color="C9C4B8" w:sz="4"/>
            </w:tcBorders>
            <w:shd w:fill="EFEADD" w:val="clear"/>
            <w:tcMar>
              <w:top w:type="dxa" w:w="80"/>
              <w:left w:type="dxa" w:w="110"/>
              <w:bottom w:type="dxa" w:w="80"/>
              <w:right w:type="dxa" w:w="110"/>
            </w:tcMar>
          </w:tcPr>
          <w:p>
            <w:pPr>
              <w:spacing w:after="0"/>
            </w:pPr>
            <w:r>
              <w:rPr>
                <w:rFonts w:ascii="Consolas" w:cs="Consolas" w:eastAsia="Consolas" w:hAnsi="Consolas"/>
                <w:b/>
                <w:bCs/>
                <w:color w:val="4A4A4A"/>
                <w:sz w:val="15"/>
                <w:szCs w:val="15"/>
              </w:rPr>
              <w:t xml:space="preserve">COMMUNICATED</w:t>
            </w:r>
          </w:p>
        </w:tc>
        <w:tc>
          <w:tcPr>
            <w:tcW w:type="dxa" w:w="7638"/>
            <w:gridSpan w:val="3"/>
            <w:tcBorders>
              <w:top w:val="single" w:color="C9C4B8" w:sz="4"/>
              <w:left w:val="single" w:color="C9C4B8" w:sz="4"/>
              <w:bottom w:val="single" w:color="C9C4B8" w:sz="4"/>
              <w:right w:val="single" w:color="C9C4B8" w:sz="4"/>
            </w:tcBorders>
            <w:tcMar>
              <w:top w:type="dxa" w:w="80"/>
              <w:left w:type="dxa" w:w="110"/>
              <w:bottom w:type="dxa" w:w="80"/>
              <w:right w:type="dxa" w:w="110"/>
            </w:tcMar>
          </w:tcPr>
          <w:p>
            <w:pPr>
              <w:spacing w:after="0"/>
            </w:pPr>
            <w:r>
              <w:rPr>
                <w:rFonts w:ascii="Arial" w:cs="Arial" w:eastAsia="Arial" w:hAnsi="Arial"/>
                <w:color w:val="B86B00"/>
                <w:sz w:val="20"/>
                <w:szCs w:val="20"/>
                <w:highlight w:val="yellow"/>
                <w:highlightCs w:val="yellow"/>
              </w:rPr>
              <w:t xml:space="preserve">[all-hands date · email date · where the cheat sheet is pinned]</w:t>
            </w:r>
          </w:p>
        </w:tc>
      </w:tr>
    </w:tbl>
    <w:p>
      <w:pPr>
        <w:pBdr>
          <w:top w:val="single" w:color="C9C4B8" w:sz="4"/>
        </w:pBdr>
        <w:spacing w:before="240"/>
      </w:pPr>
      <w:r>
        <w:rPr>
          <w:rFonts w:ascii="Consolas" w:cs="Consolas" w:eastAsia="Consolas" w:hAnsi="Consolas"/>
          <w:color w:val="8A8A8A"/>
          <w:sz w:val="14"/>
          <w:szCs w:val="14"/>
        </w:rPr>
        <w:t xml:space="preserve">AI usage policy template v1.0 · from the AI Security Starter Kit · peterbassill.com · CC BY 4.0 — adapt freely, keep the attribution</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abstractNum w:abstractNumId="3"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pPr>
        <w:spacing w:line="264"/>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2026-07-18T08:32:50.145Z</dcterms:created>
  <dcterms:modified xsi:type="dcterms:W3CDTF">2026-07-18T08:32:50.147Z</dcterms:modified>
</cp:coreProperties>
</file>

<file path=docProps/custom.xml><?xml version="1.0" encoding="utf-8"?>
<Properties xmlns="http://schemas.openxmlformats.org/officeDocument/2006/custom-properties" xmlns:vt="http://schemas.openxmlformats.org/officeDocument/2006/docPropsVTypes"/>
</file>