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onsolas" w:cs="Consolas" w:eastAsia="Consolas" w:hAnsi="Consolas"/>
          <w:color w:val="B86B00"/>
          <w:sz w:val="15"/>
          <w:szCs w:val="15"/>
        </w:rPr>
        <w:t xml:space="preserve">TEMPLATE · REPLACE EVERY [BRACKET] · FROM THE AI SECURITY STARTER KIT · DOC 07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C0C0C"/>
          <w:sz w:val="40"/>
          <w:szCs w:val="40"/>
        </w:rPr>
        <w:t xml:space="preserve">DPIA — </w:t>
      </w:r>
      <w:r>
        <w:rPr>
          <w:rFonts w:ascii="Arial" w:cs="Arial" w:eastAsia="Arial" w:hAnsi="Arial"/>
          <w:b/>
          <w:bCs/>
          <w:color w:val="B86B00"/>
          <w:sz w:val="40"/>
          <w:szCs w:val="40"/>
        </w:rPr>
        <w:t xml:space="preserve">[AI tool / processing activity]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4A4A4A"/>
          <w:sz w:val="17"/>
          <w:szCs w:val="17"/>
        </w:rPr>
        <w:t xml:space="preserve">Data Protection Impact Assessment under UK GDPR / EU GDPR Article 35. Complete BEFORE the processing starts. Guidance, the screening triggers and the AI risk catalogue are in the accompanying guide (dpia-guide-for-ai.pdf).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400"/>
        <w:gridCol w:w="1200"/>
        <w:gridCol w:w="1800"/>
        <w:gridCol w:w="1200"/>
        <w:gridCol w:w="1538"/>
      </w:tblGrid>
      <w:tr>
        <w:tc>
          <w:tcPr>
            <w:tcW w:type="dxa" w:w="15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AUTHOR</w:t>
            </w:r>
          </w:p>
        </w:tc>
        <w:tc>
          <w:tcPr>
            <w:tcW w:type="dxa" w:w="24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[name]</w:t>
            </w:r>
          </w:p>
        </w:tc>
        <w:tc>
          <w:tcPr>
            <w:tcW w:type="dxa" w:w="12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DATE</w:t>
            </w:r>
          </w:p>
        </w:tc>
        <w:tc>
          <w:tcPr>
            <w:tcW w:type="dxa" w:w="18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[YYYY-MM-DD]</w:t>
            </w:r>
          </w:p>
        </w:tc>
        <w:tc>
          <w:tcPr>
            <w:tcW w:type="dxa" w:w="12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STATUS</w:t>
            </w:r>
          </w:p>
        </w:tc>
        <w:tc>
          <w:tcPr>
            <w:tcW w:type="dxa" w:w="15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[draft]</w:t>
            </w:r>
          </w:p>
        </w:tc>
      </w:tr>
      <w:tr>
        <w:tc>
          <w:tcPr>
            <w:tcW w:type="dxa" w:w="15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SCREENING</w:t>
            </w:r>
          </w:p>
        </w:tc>
        <w:tc>
          <w:tcPr>
            <w:tcW w:type="dxa" w:w="5400"/>
            <w:gridSpan w:val="3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[triggers met — e.g. innovative technology + client personal data]</w:t>
            </w:r>
          </w:p>
        </w:tc>
        <w:tc>
          <w:tcPr>
            <w:tcW w:type="dxa" w:w="12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REVIEW</w:t>
            </w:r>
          </w:p>
        </w:tc>
        <w:tc>
          <w:tcPr>
            <w:tcW w:type="dxa" w:w="15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[+12 months]</w:t>
            </w:r>
          </w:p>
        </w:tc>
      </w:tr>
    </w:tbl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0C0C0C"/>
          <w:sz w:val="24"/>
          <w:szCs w:val="24"/>
        </w:rPr>
        <w:t xml:space="preserve">1 · Description of the processing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038"/>
      </w:tblGrid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THE TOOL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[name, tier, provider]</w:t>
            </w:r>
          </w:p>
        </w:tc>
      </w:tr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PURPOSE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[what business task, and why AI for it]</w:t>
            </w:r>
          </w:p>
        </w:tc>
      </w:tr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PERSONAL DATA INVOLVED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[categories, and whose — customers, staff, client's customers]</w:t>
            </w:r>
          </w:p>
        </w:tc>
      </w:tr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SPECIAL CATEGORY DATA?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[yes/no — if yes, which, and the Art 9 condition relied on]</w:t>
            </w:r>
          </w:p>
        </w:tc>
      </w:tr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OUR ROLE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[controller / processor for [client] / mixed — split described]</w:t>
            </w:r>
          </w:p>
        </w:tc>
      </w:tr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DATA FLOW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[in → tool → out → retained where, how long]</w:t>
            </w:r>
          </w:p>
        </w:tc>
      </w:tr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LOCATION &amp; TRANSFERS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[regions; transfer mechanism if outside UK/EU]</w:t>
            </w:r>
          </w:p>
        </w:tc>
      </w:tr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SUB-PROCESSORS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[material sub-processors, from the published list]</w:t>
            </w:r>
          </w:p>
        </w:tc>
      </w:tr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AUTOMATED DECISIONS?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[none / advisory only / solely automated — with safeguards described]</w:t>
            </w:r>
          </w:p>
        </w:tc>
      </w:tr>
    </w:tbl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0C0C0C"/>
          <w:sz w:val="24"/>
          <w:szCs w:val="24"/>
        </w:rPr>
        <w:t xml:space="preserve">2 · Consultation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038"/>
      </w:tblGrid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PEOPLE AFFECTED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[views sought, or why not proportionate]</w:t>
            </w:r>
          </w:p>
        </w:tc>
      </w:tr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CLIENT (IF PROCESSOR)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[DPA clause; notice date; objection status]</w:t>
            </w:r>
          </w:p>
        </w:tc>
      </w:tr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DPO / ADVISER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[advice received, or n/a with reason]</w:t>
            </w:r>
          </w:p>
        </w:tc>
      </w:tr>
    </w:tbl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0C0C0C"/>
          <w:sz w:val="24"/>
          <w:szCs w:val="24"/>
        </w:rPr>
        <w:t xml:space="preserve">3 · Necessity and proportionality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038"/>
      </w:tblGrid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LAWFUL BASIS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[Art 6 basis — and Art 9 condition if special category]</w:t>
            </w:r>
          </w:p>
        </w:tc>
      </w:tr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WHY THIS MUCH DATA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[what is excluded and how (the three bins)]</w:t>
            </w:r>
          </w:p>
        </w:tc>
      </w:tr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ALTERNATIVES CONSIDERED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[manual / non-AI / anonymised — why rejected]</w:t>
            </w:r>
          </w:p>
        </w:tc>
      </w:tr>
      <w:tr>
        <w:tc>
          <w:tcPr>
            <w:tcW w:type="dxa" w:w="2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INDIVIDUAL RIGHTS</w:t>
            </w:r>
          </w:p>
        </w:tc>
        <w:tc>
          <w:tcPr>
            <w:tcW w:type="dxa" w:w="70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[how access / correction / deletion work in this tool]</w:t>
            </w:r>
          </w:p>
        </w:tc>
      </w:tr>
    </w:tbl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0C0C0C"/>
          <w:sz w:val="24"/>
          <w:szCs w:val="24"/>
        </w:rPr>
        <w:t xml:space="preserve">4 · Risk assessment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4A4A4A"/>
          <w:sz w:val="17"/>
          <w:szCs w:val="17"/>
        </w:rPr>
        <w:t xml:space="preserve">Draw candidates from the risk catalogue in the guide (§03). Likelihood: rare / possible / likely. Severity — judged from the individual's perspective: minimal / significant / severe.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38"/>
        <w:gridCol w:w="1600"/>
        <w:gridCol w:w="1600"/>
        <w:gridCol w:w="1600"/>
      </w:tblGrid>
      <w:tr>
        <w:tc>
          <w:tcPr>
            <w:tcW w:type="dxa" w:w="48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RISK TO INDIVIDUALS</w:t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LIKELIHOOD</w:t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SEVERITY</w:t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OVERALL</w:t>
            </w:r>
          </w:p>
        </w:tc>
      </w:tr>
      <w:tr>
        <w:tc>
          <w:tcPr>
            <w:tcW w:type="dxa" w:w="48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[e.g. client personal data absorbed into provider training]</w:t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[possible]</w:t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[significant]</w:t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[high]</w:t>
            </w:r>
          </w:p>
        </w:tc>
      </w:tr>
      <w:tr>
        <w:tc>
          <w:tcPr>
            <w:tcW w:type="dxa" w:w="48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8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8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8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0C0C0C"/>
          <w:sz w:val="24"/>
          <w:szCs w:val="24"/>
        </w:rPr>
        <w:t xml:space="preserve">5 · Mitigations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838"/>
        <w:gridCol w:w="1400"/>
        <w:gridCol w:w="1600"/>
      </w:tblGrid>
      <w:tr>
        <w:tc>
          <w:tcPr>
            <w:tcW w:type="dxa" w:w="28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RISK</w:t>
            </w:r>
          </w:p>
        </w:tc>
        <w:tc>
          <w:tcPr>
            <w:tcW w:type="dxa" w:w="38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MEASURE</w:t>
            </w:r>
          </w:p>
        </w:tc>
        <w:tc>
          <w:tcPr>
            <w:tcW w:type="dxa" w:w="14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OWNER</w:t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RESIDUAL RISK</w:t>
            </w:r>
          </w:p>
        </w:tc>
      </w:tr>
      <w:tr>
        <w:tc>
          <w:tcPr>
            <w:tcW w:type="dxa" w:w="28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[training absorption]</w:t>
            </w:r>
          </w:p>
        </w:tc>
        <w:tc>
          <w:tcPr>
            <w:tcW w:type="dxa" w:w="38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[business tier · training off · setting screenshot filed]</w:t>
            </w:r>
          </w:p>
        </w:tc>
        <w:tc>
          <w:tcPr>
            <w:tcW w:type="dxa" w:w="14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[name]</w:t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[low]</w:t>
            </w:r>
          </w:p>
        </w:tc>
      </w:tr>
      <w:tr>
        <w:tc>
          <w:tcPr>
            <w:tcW w:type="dxa" w:w="28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8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8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8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38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0C0C0C"/>
          <w:sz w:val="24"/>
          <w:szCs w:val="24"/>
        </w:rPr>
        <w:t xml:space="preserve">6 · Outcome and sign-off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c>
          <w:tcPr>
            <w:tcW w:type="dxa" w:w="30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RESIDUAL RISK POSITION</w:t>
            </w:r>
          </w:p>
        </w:tc>
        <w:tc>
          <w:tcPr>
            <w:tcW w:type="dxa" w:w="66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[low — proceed / high — do NOT start; Art 36 consultation with the ICO / supervisory authority first]</w:t>
            </w:r>
          </w:p>
        </w:tc>
      </w:tr>
      <w:tr>
        <w:tc>
          <w:tcPr>
            <w:tcW w:type="dxa" w:w="30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CONDITIONS OF APPROVAL</w:t>
            </w:r>
          </w:p>
        </w:tc>
        <w:tc>
          <w:tcPr>
            <w:tcW w:type="dxa" w:w="66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[e.g. AMBER-bin data only; agent actions gated; review 12 months]</w:t>
            </w:r>
          </w:p>
        </w:tc>
      </w:tr>
      <w:tr>
        <w:tc>
          <w:tcPr>
            <w:tcW w:type="dxa" w:w="30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APPROVED BY</w:t>
            </w:r>
          </w:p>
        </w:tc>
        <w:tc>
          <w:tcPr>
            <w:tcW w:type="dxa" w:w="66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[name, role, date]</w:t>
            </w:r>
          </w:p>
        </w:tc>
      </w:tr>
      <w:tr>
        <w:tc>
          <w:tcPr>
            <w:tcW w:type="dxa" w:w="3000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shd w:fill="EFEADD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b/>
                <w:bCs/>
                <w:color w:val="4A4A4A"/>
                <w:sz w:val="15"/>
                <w:szCs w:val="15"/>
              </w:rPr>
              <w:t xml:space="preserve">INTEGRATED INTO</w:t>
            </w:r>
          </w:p>
        </w:tc>
        <w:tc>
          <w:tcPr>
            <w:tcW w:type="dxa" w:w="6638"/>
            <w:tcBorders>
              <w:top w:val="single" w:color="C9C4B8" w:sz="4"/>
              <w:left w:val="single" w:color="C9C4B8" w:sz="4"/>
              <w:bottom w:val="single" w:color="C9C4B8" w:sz="4"/>
              <w:right w:val="single" w:color="C9C4B8" w:sz="4"/>
            </w:tcBorders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B86B00"/>
                <w:sz w:val="20"/>
                <w:szCs w:val="20"/>
                <w:highlight w:val="yellow"/>
                <w:highlightCs w:val="yellow"/>
              </w:rPr>
              <w:t xml:space="preserve">[AI usage policy tool list · supplier register · board briefing]</w:t>
            </w:r>
          </w:p>
        </w:tc>
      </w:tr>
    </w:tbl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0C0C0C"/>
          <w:sz w:val="24"/>
          <w:szCs w:val="24"/>
        </w:rPr>
        <w:t xml:space="preserve">7 · Review triggers</w:t>
      </w:r>
    </w:p>
    <w:p>
      <w:pPr>
        <w:spacing w:after="100"/>
      </w:pPr>
      <w:r>
        <w:rPr>
          <w:rFonts w:ascii="Arial" w:cs="Arial" w:eastAsia="Arial" w:hAnsi="Arial"/>
          <w:i/>
          <w:iCs/>
          <w:color w:val="4A4A4A"/>
          <w:sz w:val="17"/>
          <w:szCs w:val="17"/>
        </w:rPr>
        <w:t xml:space="preserve">Re-open this DPIA — not just annually — when: provider terms or sub-processors change; tiers or features change (especially agents); data categories widen; an incident or near-miss occurs; a client's DPA changes; UK or EU rules move.</w:t>
      </w:r>
    </w:p>
    <w:p>
      <w:pPr>
        <w:pBdr>
          <w:top w:val="single" w:color="C9C4B8" w:sz="4"/>
        </w:pBdr>
        <w:spacing w:before="240"/>
      </w:pPr>
      <w:r>
        <w:rPr>
          <w:rFonts w:ascii="Consolas" w:cs="Consolas" w:eastAsia="Consolas" w:hAnsi="Consolas"/>
          <w:color w:val="8A8A8A"/>
          <w:sz w:val="14"/>
          <w:szCs w:val="14"/>
        </w:rPr>
        <w:t xml:space="preserve">DPIA template v1.0 · from the AI Security Starter Kit · peterbassill.com · CC BY 4.0 — adapt freely, keep the attribution. General guidance, not legal advice.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>
      <w:pPr>
        <w:spacing w:line="264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2026-07-18T10:41:06.584Z</dcterms:created>
  <dcterms:modified xsi:type="dcterms:W3CDTF">2026-07-18T10:41:06.586Z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